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1BA" w:rsidRPr="002B01BA" w:rsidRDefault="002B01BA" w:rsidP="002B01BA">
      <w:pPr>
        <w:shd w:val="clear" w:color="auto" w:fill="FFFFFF"/>
        <w:spacing w:before="300" w:after="150" w:line="33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b/>
          <w:bCs/>
          <w:color w:val="333333"/>
          <w:kern w:val="36"/>
          <w:sz w:val="26"/>
          <w:szCs w:val="26"/>
          <w:lang w:eastAsia="ru-RU"/>
        </w:rPr>
        <w:t>Внимание работодателям!</w:t>
      </w:r>
    </w:p>
    <w:p w:rsidR="002B01BA" w:rsidRPr="002B01BA" w:rsidRDefault="002B01BA" w:rsidP="002B01BA">
      <w:pPr>
        <w:shd w:val="clear" w:color="auto" w:fill="FFFFFF"/>
        <w:spacing w:before="300" w:after="150" w:line="33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b/>
          <w:bCs/>
          <w:color w:val="333333"/>
          <w:kern w:val="36"/>
          <w:sz w:val="26"/>
          <w:szCs w:val="26"/>
          <w:lang w:eastAsia="ru-RU"/>
        </w:rPr>
        <w:t>Правительство Российской Федерации установило допустимую долю иностранных работников на 2021 год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Правительством Российской Федерации принято постановление от 12.11.2020 № 1823 «Об установлении на 2021 год допустимой доли иностранных работников, используемых хозяйствующими субъектами, осуществляющими на территории Российской Федерации отдельные виды экономической деятельности» (далее соответственно - постановление № 1823).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Министерство разъясняет следующее, если число иностранных сотрудников в вашей организации превышает утвержденную долю, часть из них необходимо уволить до 1 января 2021 года на основании п.9 части 1 статьи 327.6 Трудового кодекса Российской Федерации. </w:t>
      </w:r>
    </w:p>
    <w:p w:rsidR="00F24B51" w:rsidRDefault="00F24B51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F24B51" w:rsidRPr="002B01BA" w:rsidRDefault="00F24B51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24B51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По-прежнему нельзя привлекать иностранных работников для работы в аптеках, на рынках, нестационарных торговых объектах.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Важно, в случае, если работодатель, при государственный регистрации, заявил код деятельности, указанный в постановлении № 1823 в качестве дополнительного вида деятельности, то действие постановления № 1823 распространяется и на такого работодателя.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Часть ограничений, указанных в постановлении № 1823, не отличаются от установленных на 2020 год: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выращивание овощей (код 01.13.1) - в размере 50 процентов общей численности работников, используемых указанными хозяйствующими субъектами;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строительство (раздел F) - в размере 80 процентов общей численности работников, используемых указанными хозяйствующими субъектами;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торговля розничная алкогольными напитками, включая пиво, в специализированных магазинах (код 47.25.1) - в размере 15 процентов общей численности работников, используемых указанными хозяйствующими субъектами;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торговля розничная табачными изделиями в специализированных магазинах (код 47.26) - в размере 15 процентов общей численности работников, используемых указанными хозяйствующими субъектами;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торговля розничная лекарственными средствами в специализированных магазинах (аптеках) (код 47.73) - в размере 0 процентов общей численности работников, используемых указанными хозяйствующими субъектами;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торговля розничная в нестационарных торговых объектах и на рынках (код 47.8) - в размере 0 процентов общей численности работников, используемых указанными хозяйствующими субъектами;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торговля розничная прочая вне магазинов, палаток, рынков (код 47.99) - в размере 0 процентов общей численности работников, используемых указанными хозяйствующими субъектами;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деятельность прочего сухопутного пассажирского транспорта (код 49.3) - в размере 26 процентов общей численности работников, используемых указанными хозяйствующими субъектами;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деятельность автомобильного грузового транспорта (код 49.41) - в размере 26 процентов общей численности работников, используемых указанными хозяйствующими субъектами;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деятельность в области спорта прочая (код 93.19) - в размере 25 процентов общей численности работников, используемых указанными хозяйствующими субъектами.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Также, Министерство обращает внимание на следующие новеллы в 2021 году.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 Ограничение в разме</w:t>
      </w:r>
      <w:bookmarkStart w:id="0" w:name="_GoBack"/>
      <w:bookmarkEnd w:id="0"/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ре 50 процентов от численности персонала установили для организаций занимающимися такими видами экономической деятельности: лесоводством и лесозаготовками (код 02);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обработкой древесины и производством изделий из дерева и пробки (кроме мебели), соломки и материалов для плетения (код 16);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оптовой торговлей древесным сырьем, необработанными лесоматериалами (код 46.73.1); оптовой торговлей пиломатериалами (код 46.73.2).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Под ограничение попала деятельность по обслуживанию зданий и территорий (код 81), а также управление недвижимым имуществом за вознаграждение или по договору (код 68.32). Допустимая доля иностранцев в них составляет 70 процентов.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Сокращают с 26 процентов (была установлена на 2020 год) до 24 процентов долю иностранных работников для двух видов транспорта: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прочего сухопутного пассажирского (код 49.3); автомобильного грузового (код 49.41).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Действие постановления № 1823 распространяется на всех иностранных работников, находящихся на территории Российской Федерации на законных основаниях, и не содержит норм, дающих право для выделения по каким-либо признакам части иностранных работников, используемых хозяйствующими субъектами, на которые действие постановления № 1823 не будет распространяться за исключением отдельных категорий: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высококвалифицированных специалистов и членов их семей (п. 2 статьи 13.2 Федерального закона от 25.07.2002 № 115-ФЗ «О правовом положении иностранных граждан в Российской Федерации);</w:t>
      </w:r>
    </w:p>
    <w:p w:rsidR="002B01BA" w:rsidRPr="002B01BA" w:rsidRDefault="002B01BA" w:rsidP="002B01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B01BA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иностранных граждан, временно и постоянно проживающих в Российской Федерации (имеющих разрешение на временное проживание или вид на жительство), являющихся гражданами государств - членов Евразийского экономического союза (граждане Армении, Беларуси, Казахстана, Киргизии), (п.2 статьи 97 Договора о ЕАЭС).</w:t>
      </w:r>
    </w:p>
    <w:p w:rsidR="00D73E2E" w:rsidRPr="002B01BA" w:rsidRDefault="00D73E2E" w:rsidP="002B01BA">
      <w:pPr>
        <w:ind w:firstLine="567"/>
        <w:rPr>
          <w:rFonts w:ascii="Times New Roman" w:hAnsi="Times New Roman" w:cs="Times New Roman"/>
          <w:sz w:val="26"/>
          <w:szCs w:val="26"/>
        </w:rPr>
      </w:pPr>
    </w:p>
    <w:sectPr w:rsidR="00D73E2E" w:rsidRPr="002B01BA" w:rsidSect="002B01B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F316D"/>
    <w:multiLevelType w:val="multilevel"/>
    <w:tmpl w:val="B7AC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BA"/>
    <w:rsid w:val="002B01BA"/>
    <w:rsid w:val="00415FEE"/>
    <w:rsid w:val="00A123E1"/>
    <w:rsid w:val="00D73E2E"/>
    <w:rsid w:val="00F2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5BDF"/>
  <w15:chartTrackingRefBased/>
  <w15:docId w15:val="{F2BCEF5B-10EB-4A59-A0A5-F45DC9A1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1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01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2020-12-16T02:59:00Z</cp:lastPrinted>
  <dcterms:created xsi:type="dcterms:W3CDTF">2020-12-16T03:00:00Z</dcterms:created>
  <dcterms:modified xsi:type="dcterms:W3CDTF">2020-12-16T03:00:00Z</dcterms:modified>
</cp:coreProperties>
</file>